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Põlevkivi kaevandamine allmaakaevanduses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Phitekst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Õppeprogramm annab ülevaate </w:t>
      </w:r>
      <w:r>
        <w:rPr>
          <w:rStyle w:val="Tugevrhutus"/>
          <w:rFonts w:ascii="Times New Roman" w:hAnsi="Times New Roman"/>
          <w:sz w:val="28"/>
          <w:szCs w:val="28"/>
        </w:rPr>
        <w:t>põlevkivi kaevandamisest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Tugevrhutus"/>
          <w:rFonts w:ascii="Times New Roman" w:hAnsi="Times New Roman"/>
          <w:sz w:val="28"/>
          <w:szCs w:val="28"/>
        </w:rPr>
        <w:t>allmaakaevanduses</w:t>
      </w:r>
      <w:r>
        <w:rPr>
          <w:rFonts w:ascii="Times New Roman" w:hAnsi="Times New Roman"/>
          <w:b/>
          <w:bCs/>
          <w:sz w:val="28"/>
          <w:szCs w:val="28"/>
        </w:rPr>
        <w:t xml:space="preserve"> ning erinevate kaevandamisega seotud hoonete tähendusest ja vajalikkusest.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Õppeprogramm koosneb 2st põhiosast:</w:t>
      </w:r>
    </w:p>
    <w:p>
      <w:pPr>
        <w:pStyle w:val="Phiteks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Tugevrhutus"/>
        </w:rPr>
        <w:t>Õppekäik allmaamuuseumis</w:t>
      </w:r>
      <w:r>
        <w:rPr/>
        <w:t>. Tutvutakse põlevkivi allmaakaevandamisega. Uuritakse põlevkivi erinevaid kihte ja kaevandamistehnikaid jne.</w:t>
      </w:r>
    </w:p>
    <w:p>
      <w:pPr>
        <w:pStyle w:val="Phiteks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Tugevrhutus"/>
        </w:rPr>
        <w:t>Õppekäik Eesti kaevandusmuuseumi territooriumil</w:t>
      </w:r>
      <w:r>
        <w:rPr/>
        <w:t>. Läbi lihtsa orienteerumismängu tutvutakse põlevkivi fraktsioonidega, kaevandamise kõrvalsaadustega, erinevate põlevkivi kaevandamisega seotud hoonetega ja nende funktsioonidega.</w:t>
      </w:r>
    </w:p>
    <w:p>
      <w:pPr>
        <w:pStyle w:val="Phitekst"/>
        <w:bidi w:val="0"/>
        <w:jc w:val="left"/>
        <w:rPr/>
      </w:pPr>
      <w:r>
        <w:rPr/>
        <w:t xml:space="preserve">Õppeprogramm broneeri muuseumi meili teele </w:t>
      </w:r>
      <w:hyperlink r:id="rId2">
        <w:r>
          <w:rPr>
            <w:rStyle w:val="Internetilink"/>
          </w:rPr>
          <w:t>info@kaevandusmuuseum.ee</w:t>
        </w:r>
      </w:hyperlink>
      <w:r>
        <w:rPr/>
        <w:t xml:space="preserve"> või </w:t>
      </w:r>
      <w:hyperlink r:id="rId3">
        <w:r>
          <w:rPr>
            <w:rStyle w:val="Internetilink"/>
          </w:rPr>
          <w:t>https://kaevandusmuuseum.ee/info-ja-piletid/hinnaparing/</w:t>
        </w:r>
      </w:hyperlink>
      <w:r>
        <w:rPr/>
        <w:t> 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Õppeprogramm annab ülevaate </w:t>
      </w:r>
      <w:r>
        <w:rPr>
          <w:rStyle w:val="Tugevrhutus"/>
          <w:rFonts w:ascii="Times New Roman" w:hAnsi="Times New Roman"/>
          <w:sz w:val="28"/>
          <w:szCs w:val="28"/>
        </w:rPr>
        <w:t>põlevkivi kaevandamisest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Tugevrhutus"/>
          <w:rFonts w:ascii="Times New Roman" w:hAnsi="Times New Roman"/>
          <w:sz w:val="28"/>
          <w:szCs w:val="28"/>
        </w:rPr>
        <w:t>allmaakaevanduses</w:t>
      </w:r>
      <w:r>
        <w:rPr>
          <w:rFonts w:ascii="Times New Roman" w:hAnsi="Times New Roman"/>
          <w:b/>
          <w:bCs/>
          <w:sz w:val="28"/>
          <w:szCs w:val="28"/>
        </w:rPr>
        <w:t xml:space="preserve"> ning erinevate kaevandamisega seotud hoonete tähendusest ja vajalikkusest. 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Phitekst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Tugevrhutus"/>
          <w:rFonts w:ascii="Times New Roman" w:hAnsi="Times New Roman"/>
          <w:sz w:val="28"/>
          <w:szCs w:val="28"/>
        </w:rPr>
        <w:t>Tegevused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Tugevrhutus"/>
        </w:rPr>
        <w:t>Õppekäik allmaamuuseumis</w:t>
      </w:r>
      <w:r>
        <w:rPr/>
        <w:t>. (1-1,5h) Tutvutakse põlevkivi allmaakaevandamisega. Uuritakse kaevandatavaid põlevkivi kihte, veejuhtimist, kaevandamistehnikaid jne.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Riietumine (joped, kiivrid) juhised maa all käitumise kohta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Sõidetakse rongiga käsikambri kohta, kus tutvutakse geoloogilise läbilõikega ja käsikambri tööriistadega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Kombaini juures tutvustatakse kamberkaevandamist ning selle mõju keskkonnale, maapinna langatused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Paarislaava kaevandamise põhimõttete tutvustus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Läbinduses tutvustatakse lõhketöid ning kaevanduse ventilatsiooni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Tugevrhutus"/>
        </w:rPr>
        <w:t>Õppekäik Eesti kaevandusmuuseumi territooriumil</w:t>
      </w:r>
      <w:r>
        <w:rPr/>
        <w:t>. (0,5h) Läbi põneva orienteerumismängu tutvutakse põlevkivi fraktsioonidega, kaevandamise kõrvalsaadustega, põlevkivi kaevandamisega seotud töödega maa peal.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Õpilased jagatakse 3-5 inimest meeskondadeks ning jagatakse kätte territooriumi kaart punktidega ning leht küsimustega, millele peavad meeskonnad nendes punktides vastused leidma</w:t>
      </w:r>
    </w:p>
    <w:p>
      <w:pPr>
        <w:pStyle w:val="Phiteks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Punktid paiknevad endise kaevanduse erinevates punktides (töökohtades ning kaevanduse hoonete juures)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color w:val="222330"/>
          <w:sz w:val="24"/>
          <w:szCs w:val="24"/>
        </w:rPr>
      </w:pPr>
      <w:r>
        <w:rPr>
          <w:rFonts w:ascii="Times New Roman" w:hAnsi="Times New Roman"/>
          <w:b/>
          <w:bCs/>
          <w:color w:val="222330"/>
          <w:sz w:val="24"/>
          <w:szCs w:val="24"/>
        </w:rPr>
        <w:t>Sihtrühm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color w:val="222330"/>
          <w:sz w:val="24"/>
          <w:szCs w:val="24"/>
        </w:rPr>
      </w:pPr>
      <w:r>
        <w:rPr>
          <w:rFonts w:ascii="Times New Roman" w:hAnsi="Times New Roman"/>
          <w:b/>
          <w:bCs/>
          <w:color w:val="222330"/>
          <w:sz w:val="24"/>
          <w:szCs w:val="24"/>
        </w:rPr>
      </w:r>
    </w:p>
    <w:p>
      <w:pPr>
        <w:pStyle w:val="Normal"/>
        <w:bidi w:val="0"/>
        <w:spacing w:lineRule="atLeast" w:line="206" w:before="69" w:after="69"/>
        <w:ind w:left="231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2233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7-9 kl III kooliaste</w:t>
      </w:r>
    </w:p>
    <w:p>
      <w:pPr>
        <w:pStyle w:val="Normal"/>
        <w:bidi w:val="0"/>
        <w:spacing w:lineRule="atLeast" w:line="206" w:before="69" w:after="69"/>
        <w:ind w:left="231" w:right="0" w:hanging="0"/>
        <w:jc w:val="both"/>
        <w:rPr>
          <w:rFonts w:ascii="Times New Roman" w:hAnsi="Times New Roman"/>
          <w:b w:val="false"/>
          <w:b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22330"/>
          <w:spacing w:val="0"/>
          <w:sz w:val="24"/>
          <w:szCs w:val="24"/>
        </w:rPr>
        <w:t>Gümnaasiu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22330"/>
          <w:spacing w:val="0"/>
          <w:sz w:val="24"/>
          <w:szCs w:val="24"/>
        </w:rPr>
        <w:t>m</w:t>
      </w:r>
    </w:p>
    <w:p>
      <w:pPr>
        <w:pStyle w:val="Normal"/>
        <w:bidi w:val="0"/>
        <w:spacing w:lineRule="atLeast" w:line="206" w:before="69" w:after="69"/>
        <w:ind w:left="231" w:right="0" w:hanging="0"/>
        <w:jc w:val="both"/>
        <w:rPr>
          <w:rFonts w:ascii="Times New Roman" w:hAnsi="Times New Roman"/>
          <w:b w:val="false"/>
          <w:b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r>
    </w:p>
    <w:p>
      <w:pPr>
        <w:pStyle w:val="Normal"/>
        <w:bidi w:val="0"/>
        <w:spacing w:lineRule="atLeast" w:line="206" w:before="69" w:after="69"/>
        <w:ind w:left="231" w:right="0" w:hanging="0"/>
        <w:jc w:val="both"/>
        <w:rPr>
          <w:rFonts w:ascii="Times New Roman" w:hAnsi="Times New Roman"/>
          <w:b w:val="false"/>
          <w:b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r>
    </w:p>
    <w:p>
      <w:pPr>
        <w:pStyle w:val="Normal"/>
        <w:bidi w:val="0"/>
        <w:spacing w:lineRule="atLeast" w:line="206" w:before="69" w:after="69"/>
        <w:ind w:left="231" w:right="0" w:hanging="0"/>
        <w:jc w:val="both"/>
        <w:rPr>
          <w:rFonts w:ascii="Times New Roman" w:hAnsi="Times New Roman"/>
          <w:b w:val="false"/>
          <w:b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22330"/>
          <w:spacing w:val="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Õpitulemused </w:t>
      </w:r>
      <w:r>
        <w:rPr>
          <w:rFonts w:ascii="Times New Roman" w:hAnsi="Times New Roman"/>
          <w:b/>
          <w:bCs/>
          <w:sz w:val="28"/>
          <w:szCs w:val="28"/>
        </w:rPr>
        <w:t>Eesmärgid. Programmis osaleja: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teab  põlevkivi kaevandamise viise,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omab ülevaadet põlevkivi kaevandamise erinevatest mõjudest keskkonnale,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mõistab seoseid tarbimisharjumuste, põlevkivi kaevandamise ja keskkonnamõjude vahel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Üldpädevused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ettevõtlikkuspädevus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matemaatika, loodusteaduste ja tehnoloogiaalne pädevus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sotsiaalne ja kodanikupädevus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suhtluspädevus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Phitekst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Style w:val="Tugevrhutus"/>
          <w:rFonts w:ascii="Times New Roman" w:hAnsi="Times New Roman"/>
          <w:sz w:val="24"/>
          <w:szCs w:val="24"/>
        </w:rPr>
        <w:t>Seos õppekavaga: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PK Loodusõpetus: Inimene uurib loodust. 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Gümn ökoloogia: Teadvustab looduse, tehnoloogia ja ühiskonna vastastikuseid seoseid.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Läbiv teema: Keskkond ja jätkusuutlik areng.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Phitekst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Style w:val="Tugevrhutus"/>
          <w:rFonts w:ascii="Times New Roman" w:hAnsi="Times New Roman"/>
          <w:sz w:val="24"/>
          <w:szCs w:val="24"/>
        </w:rPr>
        <w:t>Meetodid: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paikvaatlused,  praktilised ülesanded, arutelud, meeskonnatöö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Vahendid: </w:t>
      </w:r>
    </w:p>
    <w:p>
      <w:pPr>
        <w:pStyle w:val="Phiteks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näidismaterjalid:  geoloogiliste kihtide läbilõige,</w:t>
      </w:r>
    </w:p>
    <w:p>
      <w:pPr>
        <w:pStyle w:val="Phiteks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lamineeritud territooriumi kaart</w:t>
      </w:r>
    </w:p>
    <w:p>
      <w:pPr>
        <w:pStyle w:val="Phiteks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küsimustelehed</w:t>
      </w:r>
    </w:p>
    <w:p>
      <w:pPr>
        <w:pStyle w:val="Phiteks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pliiatsid</w:t>
      </w:r>
    </w:p>
    <w:p>
      <w:pPr>
        <w:pStyle w:val="Phiteks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kindla suurusega põlevkivi tükk</w:t>
      </w:r>
    </w:p>
    <w:p>
      <w:pPr>
        <w:pStyle w:val="Phitekst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Õpikeskkonna eripära: karjääri künklik maastik, allmaakaevanduse käigud. Riietus kihiline ja sobilik looduses liikumiseks. Arvestada tuleb Eesti muutlike ilmaoludega. Kaasa kampsun, jope või vihmakeep. </w:t>
      </w:r>
    </w:p>
    <w:p>
      <w:pPr>
        <w:pStyle w:val="Phitekst"/>
        <w:bidi w:val="0"/>
        <w:spacing w:lineRule="auto" w:line="276" w:before="0" w:after="140"/>
        <w:jc w:val="left"/>
        <w:rPr/>
      </w:pPr>
      <w:r>
        <w:rPr/>
        <w:t>Programm ei sobi liikumispuudega õpilastele.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Märksõnad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maavarad , põlevkivi, kaevandamine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Kestus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2,5 h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Grupi suurus 33 õpilast + </w:t>
      </w:r>
      <w:r>
        <w:rPr>
          <w:rFonts w:ascii="Times New Roman" w:hAnsi="Times New Roman"/>
          <w:b w:val="false"/>
          <w:bCs w:val="false"/>
          <w:sz w:val="24"/>
          <w:szCs w:val="24"/>
        </w:rPr>
        <w:t>2 õpetajat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caps w:val="false"/>
          <w:smallCaps w:val="false"/>
          <w:color w:val="222330"/>
          <w:spacing w:val="0"/>
          <w:sz w:val="24"/>
          <w:szCs w:val="24"/>
        </w:rPr>
        <w:t>Toimumise aeg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Aastaringselt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Maksumus 561€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Phitekst"/>
        <w:bidi w:val="0"/>
        <w:spacing w:before="0" w:after="14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Style w:val="Tugevrhutus"/>
          <w:rFonts w:ascii="Times New Roman" w:hAnsi="Times New Roman"/>
          <w:sz w:val="24"/>
          <w:szCs w:val="24"/>
        </w:rPr>
        <w:t xml:space="preserve">Jüri Sala </w:t>
      </w:r>
      <w:r>
        <w:rPr>
          <w:rFonts w:ascii="Times New Roman" w:hAnsi="Times New Roman"/>
          <w:b w:val="false"/>
          <w:bCs w:val="false"/>
          <w:sz w:val="24"/>
          <w:szCs w:val="24"/>
        </w:rPr>
        <w:t>on täna Eesti Kaevandusmuuseumi giid, kuid kaevanduses töötanud mehena teab ta täpselt, mida räägib. Projekti "Kaevandusmuuseumi õppe- ja külastusprogrammide väljatöötamine" raames lõi ta kaasa õppeprogrammide koostamisel ning aastal 2020 läbis edukalt muuseumigiidide koolituse, mille üheks mooduliks oli keskkonnaprogrammide läbiviimine.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t-E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t-EE" w:eastAsia="zh-CN" w:bidi="hi-IN"/>
    </w:rPr>
  </w:style>
  <w:style w:type="character" w:styleId="Tugevrhutus">
    <w:name w:val="Tugev rõhutus"/>
    <w:qFormat/>
    <w:rPr>
      <w:b/>
      <w:bCs/>
    </w:rPr>
  </w:style>
  <w:style w:type="character" w:styleId="Tpploend">
    <w:name w:val="Täpploend"/>
    <w:qFormat/>
    <w:rPr>
      <w:rFonts w:ascii="OpenSymbol" w:hAnsi="OpenSymbol" w:eastAsia="OpenSymbol" w:cs="OpenSymbol"/>
    </w:rPr>
  </w:style>
  <w:style w:type="character" w:styleId="Internetilink">
    <w:name w:val="Internetilink"/>
    <w:rPr>
      <w:color w:val="000080"/>
      <w:u w:val="single"/>
      <w:lang w:val="zxx" w:eastAsia="zxx" w:bidi="zxx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kaevandusmuuseum.ee" TargetMode="External"/><Relationship Id="rId3" Type="http://schemas.openxmlformats.org/officeDocument/2006/relationships/hyperlink" Target="https://kaevandusmuuseum.ee/info-ja-piletid/hinnaparin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LibreOffice/7.2.4.1$Windows_X86_64 LibreOffice_project/27d75539669ac387bb498e35313b970b7fe9c4f9</Application>
  <AppVersion>15.0000</AppVersion>
  <Pages>2</Pages>
  <Words>369</Words>
  <Characters>3115</Characters>
  <CharactersWithSpaces>3438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2025-10-27T13:26:02Z</dcterms:created>
  <dc:creator/>
  <dc:description/>
  <dc:language>et-EE</dc:language>
  <cp:lastModifiedBy/>
  <dcterms:modified xsi:type="dcterms:W3CDTF">2025-10-27T13:41:56Z</dcterms:modified>
  <cp:revision>1</cp:revision>
  <dc:subject/>
  <dc:title/>
</cp:coreProperties>
</file>